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left"/>
        <w:textAlignment w:val="auto"/>
        <w:rPr>
          <w:rFonts w:hint="eastAsia" w:ascii="黑体" w:hAnsi="黑体" w:eastAsia="黑体" w:cs="黑体"/>
          <w:i w:val="0"/>
          <w:caps w:val="0"/>
          <w:color w:val="000000" w:themeColor="text1"/>
          <w:spacing w:val="0"/>
          <w:sz w:val="28"/>
          <w:szCs w:val="28"/>
          <w:shd w:val="clear" w:fill="FFFFFF"/>
          <w:lang w:val="en-US" w:eastAsia="zh-CN"/>
          <w14:textFill>
            <w14:solidFill>
              <w14:schemeClr w14:val="tx1"/>
            </w14:solidFill>
          </w14:textFill>
        </w:rPr>
      </w:pPr>
      <w:r>
        <w:rPr>
          <w:rFonts w:hint="eastAsia" w:ascii="黑体" w:hAnsi="黑体" w:eastAsia="黑体" w:cs="黑体"/>
          <w:i w:val="0"/>
          <w:caps w:val="0"/>
          <w:color w:val="000000" w:themeColor="text1"/>
          <w:spacing w:val="0"/>
          <w:sz w:val="28"/>
          <w:szCs w:val="28"/>
          <w:shd w:val="clear" w:fill="FFFFFF"/>
          <w:lang w:val="en-US" w:eastAsia="zh-CN"/>
          <w14:textFill>
            <w14:solidFill>
              <w14:schemeClr w14:val="tx1"/>
            </w14:solidFill>
          </w14:textFill>
        </w:rPr>
        <w:t>附件4</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i w:val="0"/>
          <w:caps w:val="0"/>
          <w:color w:val="000000" w:themeColor="text1"/>
          <w:spacing w:val="0"/>
          <w:sz w:val="44"/>
          <w:szCs w:val="44"/>
          <w:shd w:val="clear" w:fill="FFFFFF"/>
          <w:lang w:val="en-US" w:eastAsia="zh-CN"/>
          <w14:textFill>
            <w14:solidFill>
              <w14:schemeClr w14:val="tx1"/>
            </w14:solidFill>
          </w14:textFill>
        </w:rPr>
      </w:pP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i w:val="0"/>
          <w:caps w:val="0"/>
          <w:color w:val="000000" w:themeColor="text1"/>
          <w:spacing w:val="0"/>
          <w:sz w:val="44"/>
          <w:szCs w:val="44"/>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i w:val="0"/>
          <w:caps w:val="0"/>
          <w:color w:val="000000" w:themeColor="text1"/>
          <w:spacing w:val="0"/>
          <w:sz w:val="44"/>
          <w:szCs w:val="44"/>
          <w:shd w:val="clear" w:fill="FFFFFF"/>
          <w:lang w:val="en-US" w:eastAsia="zh-CN"/>
          <w14:textFill>
            <w14:solidFill>
              <w14:schemeClr w14:val="tx1"/>
            </w14:solidFill>
          </w14:textFill>
        </w:rPr>
        <w:t>宁夏回族自治区2022年</w:t>
      </w:r>
      <w:bookmarkStart w:id="0" w:name="_GoBack"/>
      <w:bookmarkEnd w:id="0"/>
      <w:r>
        <w:rPr>
          <w:rFonts w:hint="eastAsia" w:ascii="方正小标宋简体" w:hAnsi="方正小标宋简体" w:eastAsia="方正小标宋简体" w:cs="方正小标宋简体"/>
          <w:i w:val="0"/>
          <w:caps w:val="0"/>
          <w:color w:val="000000" w:themeColor="text1"/>
          <w:spacing w:val="0"/>
          <w:sz w:val="44"/>
          <w:szCs w:val="44"/>
          <w:shd w:val="clear" w:fill="FFFFFF"/>
          <w:lang w:val="en-US" w:eastAsia="zh-CN"/>
          <w14:textFill>
            <w14:solidFill>
              <w14:schemeClr w14:val="tx1"/>
            </w14:solidFill>
          </w14:textFill>
        </w:rPr>
        <w:t>考试录用公务员</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i w:val="0"/>
          <w:caps w:val="0"/>
          <w:color w:val="000000" w:themeColor="text1"/>
          <w:spacing w:val="0"/>
          <w:sz w:val="44"/>
          <w:szCs w:val="44"/>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i w:val="0"/>
          <w:caps w:val="0"/>
          <w:color w:val="000000" w:themeColor="text1"/>
          <w:spacing w:val="0"/>
          <w:sz w:val="44"/>
          <w:szCs w:val="44"/>
          <w:shd w:val="clear" w:fill="FFFFFF"/>
          <w:lang w:val="en-US" w:eastAsia="zh-CN"/>
          <w14:textFill>
            <w14:solidFill>
              <w14:schemeClr w14:val="tx1"/>
            </w14:solidFill>
          </w14:textFill>
        </w:rPr>
        <w:t>公共科目考试大纲</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pP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为便于报考者充分了解</w:t>
      </w: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宁夏回族自治区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202</w:t>
      </w: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年度考试录用公务员公共科目笔试，特制定本大纲。</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黑体" w:cs="Times New Roman"/>
          <w:i w:val="0"/>
          <w:caps w:val="0"/>
          <w:color w:val="000000" w:themeColor="text1"/>
          <w:spacing w:val="0"/>
          <w:sz w:val="31"/>
          <w:szCs w:val="31"/>
          <w:shd w:val="clear" w:fill="FFFFFF"/>
          <w14:textFill>
            <w14:solidFill>
              <w14:schemeClr w14:val="tx1"/>
            </w14:solidFill>
          </w14:textFill>
        </w:rPr>
        <w:t>一、笔试内容</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宁夏回族自治区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202</w:t>
      </w: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年度考试录用公务员公共科目笔试分为行政职业能力测验和申论两科，主要测查从事公务员工作应当具备的基本能力和基本素质，特别是用习近平新时代中国特色社会主义思想指导</w:t>
      </w:r>
      <w:r>
        <w:rPr>
          <w:rFonts w:hint="eastAsia"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分析和</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解决问题的能力。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公共科目笔试全部采用闭卷考试的方式。其中，行政职业能力测验为客观性试题，考试时限</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120</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分钟</w:t>
      </w:r>
      <w:r>
        <w:rPr>
          <w:rFonts w:hint="eastAsia"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，满分</w:t>
      </w:r>
      <w:r>
        <w:rPr>
          <w:rFonts w:hint="eastAsia"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150分；</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申论为主观性试题，考试时限</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1</w:t>
      </w: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5</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0</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分钟</w:t>
      </w:r>
      <w:r>
        <w:rPr>
          <w:rFonts w:hint="eastAsia"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，满分</w:t>
      </w:r>
      <w:r>
        <w:rPr>
          <w:rFonts w:hint="eastAsia"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150分</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黑体" w:cs="Times New Roman"/>
          <w:i w:val="0"/>
          <w:caps w:val="0"/>
          <w:color w:val="000000" w:themeColor="text1"/>
          <w:spacing w:val="0"/>
          <w:sz w:val="31"/>
          <w:szCs w:val="31"/>
          <w:shd w:val="clear" w:fill="FFFFFF"/>
          <w14:textFill>
            <w14:solidFill>
              <w14:schemeClr w14:val="tx1"/>
            </w14:solidFill>
          </w14:textFill>
        </w:rPr>
        <w:t>二、行政职业能力测验</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6"/>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行政职业能力测验主要包括常识判断、言语理解与表达、数量关系、判断推理和资料分析等</w:t>
      </w:r>
      <w:r>
        <w:rPr>
          <w:rFonts w:hint="eastAsia"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内容</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6"/>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常识判断</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主要测查报考者在政治、经济、文化、科技等方面应知应会的基本知识以及运用这些知识进行分析判断的基本能力。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例题：发展必须是科学发展，必须坚定不移贯彻创新、协调、绿色、开放、共享的发展理念。下列与之有关的说法，正确的有几项？</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①创新发展注重的是解决发展动力问题</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②协调发展注重的是解决社会公平正义问题</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③绿色发展注重的是解决人与自然和谐共生问题</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④开放发展注重的是解决发展内外联动问题</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⑤共享发展注重的是解决发展不平衡问题</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A．1                                    B．2</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C．3                                    D．4</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答案：C。创新发展注重的是解决发展动力问题；协调发展注重的是解决发展不平衡问题；绿色发展注重的是解决人与自然和谐共生问题；开放发展注重的是解决发展内外联动问题；共享发展注重的是解决社会公平正义问题。对比可知，语句②和语句⑤错误。因此，正确答案为C。）</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言语理解与表达</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例题</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1</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环境保护主义是一种信念，是一种重建人与自然关系的强烈愿望。要实现这一愿望，就必须树立一种自然共同体的意识，即将人类在共同体中的征服者角色，变为这一共同体中的普通一员。它暗含着对每个成员的尊敬，也包括对这个共同体本身的尊敬。只有树立了这样的一种道德意识，人们才有可能在运用其在这一共同体中的权利时，感到所负有的对这个共同体的义务。这不仅依赖对自然本质的科学理解，也依赖在了解基础上建立起的对自然的感情。</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楷体_GB2312"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文段最后一句话中的“这”指的是：</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．自然共同体意识的树立</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．对自然共同体的义务</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．热爱自然的感情</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．重建人与自然关系的愿望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（答案：</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首句指出环境保护主义“是一种重建人与自然关系的强烈愿望”，次句说明“要实现这一愿望，就必须树立一种自然共同体的意识”，第三句说明“只有树立了这样的一种道德意识”的重要意义，最后归结到“这不仅依赖</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，也依赖</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”，即实现这种意识的条件。因此，可知“这”指的是“自然共同体意识的树立”，正确答案为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例题2：中国道路的成功开创不仅创造了中国奇迹，而且创造了中国经验。中国经验无疑是中国智慧的结晶，具有鲜明的</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______</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但是，中国经验作为中国道路的积极成果，也是在遵循历史发展和现代化发展规律、吸收世界发展经验教训的基础上形成的，它是对人类文明发展进行探索的重要产物，反映了人类文明进步的规律，因而又具有一定的</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______</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依次填入画横线部分最恰当的一项是：</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．地域性</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国际性</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             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．实践性</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理论性</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．先进性</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创新性</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             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．特殊性</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普遍性</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（答案：</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正确答案为</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数量关系</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主要测查报考者理解、把握事物间量化关系和解决数量关系问题的能力，主要涉及数据关系的分析、推理、判断、运算等。常用题型有数字推理和数学运算两种。</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Style w:val="6"/>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数字推理：</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每道题给出一个数列，但其中缺少一项，要求报考者仔细观察这个数列各数字之间的关系，找出其中的排列规律，然后从四个供选择的答案中选出最合适、最合理的一个来填补空缺项，使之符合原数列的排列规律。</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例题：</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1   2   4   8   16  </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16     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24    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32    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36</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（答案：</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。原数列是一个等比数列，后一项是前一项的</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2</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倍，故正确答案为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Style w:val="6"/>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数学运算：</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每道题给出一个算术式子或者表达数量关系的一段文字，要求报考者熟练运用加、减、乘、除等基本运算法则，并利用其他基本数学知识计算或推出结果。</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例题：某单位的会议室有</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5</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排共</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40</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个座位，每排座位数相同。小张和小李随机入座，则他们坐在同一排的概率：</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．不高于</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15%                   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．高于</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15%</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但低于</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20%</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．正好为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20%                   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．高于</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20%</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（答案：</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。根据题意可知，小张随机选一个位置就坐，那么小李可以选择的位置为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39</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个，因此总情况数</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=40</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39</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。要让他们恰好坐在同一排，应先从</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5</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排中选一排，再从这一排中选</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2</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个座位，符合条件的情况数</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=5</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8</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7</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，因此概率约为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7/39=17.9%</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。因此，正确答案为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判断推理</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主要测查报考者对各种事物关系的分析推理能力，主要涉及对图形、语词概念、事物关系和文字材料的理解、比较、组合、演绎和归纳等。常用题型有图形推理、定义判断、类比推理、逻辑判断四种。</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Style w:val="6"/>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图形推理：</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每道题给出一套或两套图形，要求报考者通过观察分析找出图形排列的规律，选出符合规律的一项。</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例题：把下面的六个图形分为两类，使每一类图形都有各自的共同特征或规律，分类正确的一项是：</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55" w:lineRule="atLeast"/>
        <w:ind w:firstLine="310" w:firstLineChars="100"/>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①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xml:space="preserve">    </w:t>
      </w: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xml:space="preserve">  </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②</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③</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④</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⑤</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w:t>
      </w: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⑥</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微软雅黑" w:cs="Times New Roman"/>
          <w:i w:val="0"/>
          <w:caps w:val="0"/>
          <w:color w:val="000000" w:themeColor="text1"/>
          <w:spacing w:val="0"/>
          <w:sz w:val="18"/>
          <w:szCs w:val="18"/>
          <w:shd w:val="clear" w:fill="FFFFFF"/>
          <w14:textFill>
            <w14:solidFill>
              <w14:schemeClr w14:val="tx1"/>
            </w14:solidFill>
          </w14:textFill>
        </w:rPr>
        <w:drawing>
          <wp:anchor distT="0" distB="0" distL="114300" distR="114300" simplePos="0" relativeHeight="251659264" behindDoc="0" locked="0" layoutInCell="1" allowOverlap="1">
            <wp:simplePos x="0" y="0"/>
            <wp:positionH relativeFrom="column">
              <wp:posOffset>-59055</wp:posOffset>
            </wp:positionH>
            <wp:positionV relativeFrom="paragraph">
              <wp:posOffset>120650</wp:posOffset>
            </wp:positionV>
            <wp:extent cx="5562600" cy="797560"/>
            <wp:effectExtent l="0" t="0" r="0" b="0"/>
            <wp:wrapTopAndBottom/>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5"/>
                    <a:stretch>
                      <a:fillRect/>
                    </a:stretch>
                  </pic:blipFill>
                  <pic:spPr>
                    <a:xfrm>
                      <a:off x="0" y="0"/>
                      <a:ext cx="5562600" cy="797560"/>
                    </a:xfrm>
                    <a:prstGeom prst="rect">
                      <a:avLst/>
                    </a:prstGeom>
                    <a:noFill/>
                    <a:ln w="9525">
                      <a:noFill/>
                    </a:ln>
                  </pic:spPr>
                </pic:pic>
              </a:graphicData>
            </a:graphic>
          </wp:anchor>
        </w:drawing>
      </w:r>
      <w:r>
        <w:rPr>
          <w:rFonts w:hint="default" w:ascii="Times New Roman" w:hAnsi="Times New Roman" w:eastAsia="微软雅黑" w:cs="Times New Roman"/>
          <w:i w:val="0"/>
          <w:caps w:val="0"/>
          <w:color w:val="000000" w:themeColor="text1"/>
          <w:spacing w:val="0"/>
          <w:sz w:val="18"/>
          <w:szCs w:val="18"/>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．①②⑥，③④⑤</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．①③④，②⑤⑥</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．①④⑤，②③⑥</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．①④⑥，②③⑤</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（答案：</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。题干中每个图形中都有多个封闭图形和线段，考虑二者之间的位置关系。正确答案为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Style w:val="6"/>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定义判断：</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每道题先对相关概念进行定义，然后分别列出四种情况，要求报考者严格依据定义选出一个最符合或最不符合该定义的答案。</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55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例题：党政机关公文是党政机关实施领导、履行职能、处理公务的具有特定效力和规范体式的文书。其中命令（令）适用于公布行政法规和规章、宣布施行重大强制性措施、批准授予和晋升衔级、嘉奖有关单位和人员。意见适用于对重要问题提出见解和处理办法。批复适用于答复下级机关请示事项。函适用于不相隶属机关之间商洽工作、询问和答复问题、请求批准和答复审批事项。</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30"/>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根据上述定义，下列选项中应添加“批复”的是：</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．《国务院办公厅关于进一步加强资本市场中小投资者合法权益保护工作的</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____</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．《国务院办公厅关于黑龙江双鸭山经济开发区升级为国家级经济技术开发区的</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____</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．《国务院关于同意设立陕西西咸新区的</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____</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微软雅黑"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．《国务院关于在我国统一实行法定计量单位的</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____</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（答案：</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。根据题干，“批复”的定义要点是：答复下级机关请示事项。</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选项中，同意设立陕西西咸新区，属于答复下级机关请示，符合定义。因此，正确答案为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Style w:val="6"/>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类比推理：</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给出一组相关的词，要求通过观察分析，在备选答案中找出一组与之在逻辑关系上最为贴近或相似的词。</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例题：设计</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发放</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问卷</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．复制</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修改</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文字</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．预习</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复习</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考试</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．播放</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快进</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磁带</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．制定</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执行</w:t>
      </w:r>
      <w:r>
        <w:rPr>
          <w:rFonts w:hint="default" w:ascii="Times New Roman" w:hAnsi="Times New Roman" w:eastAsia="宋体"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政策</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（答案：</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。“设计”和“发放”是问卷实施过程中必然经历的两个步骤，顺序是先设计，后发放。</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选项，“制定”“执行”是政策实行过程中必然经历的两个步骤，并且制定在前，执行在后，与题干逻辑关系一致，</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选项中的词语不具备题干中的逻辑关系。因此，正确答案为</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6"/>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Style w:val="6"/>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逻辑判断：</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每道题给出一段陈述，这段陈述被假设是正确的，不容置疑的。要求报考者根据这段陈述，运用一定的逻辑推论，选择一个最恰当的答案。</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例题：一切生命有机体都需要新陈代谢，否则生命就会停止。文明也是一样，如果长期自我封闭，必将走向衰落。交流互鉴是文明发展的本质要求。只有同其他文明交流互鉴、取长补短，才能保持旺盛生命活力。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由此可以推出：</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．一种文明如果没有长期自我封闭，就不会走向衰落</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．一种文明如果同其他文明交流互鉴、取长补短，就能保持旺盛生命活力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．一种文明如果没有同其他文明交流互鉴，就不能保持旺盛生命活力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．一种文明如果没有保持旺盛生命活力，它就没有同其他文明取长补短</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（答案：</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选项将题干中的条件前后件均加否定，不能推出；</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B</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选项将题干中的“只有…才…”转换为“如果…就…”，不能推出；</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选项是对题干最后一句话的同义表述，可以推出；</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D</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选项将题干最后一句话的前后件对调，不能推出。因此，正确答案为</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C</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6"/>
        <w:jc w:val="both"/>
        <w:textAlignment w:val="auto"/>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资料分析</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主要测查报考者对文字、数字、图表等统计性资料的综合理解与分析加工能力。</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ascii="方正魏碑_GBK" w:hAnsi="方正魏碑_GBK" w:eastAsia="方正魏碑_GBK" w:cs="方正魏碑_GBK"/>
          <w:i w:val="0"/>
          <w:iCs w:val="0"/>
          <w:caps w:val="0"/>
          <w:color w:val="333333"/>
          <w:spacing w:val="0"/>
          <w:sz w:val="31"/>
          <w:szCs w:val="31"/>
          <w:shd w:val="clear" w:fill="FFFFFF"/>
        </w:rPr>
      </w:pP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 </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例题：</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2019</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年全国地铁运营线路长度达</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5181</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公里，占城轨交通运营线路总里程的</w:t>
      </w: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76.8%</w:t>
      </w: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1571" w:firstLineChars="507"/>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1571" w:firstLineChars="507"/>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eastAsia"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drawing>
          <wp:anchor distT="0" distB="0" distL="114300" distR="114300" simplePos="0" relativeHeight="251660288" behindDoc="0" locked="0" layoutInCell="1" allowOverlap="1">
            <wp:simplePos x="0" y="0"/>
            <wp:positionH relativeFrom="column">
              <wp:posOffset>157480</wp:posOffset>
            </wp:positionH>
            <wp:positionV relativeFrom="paragraph">
              <wp:posOffset>102235</wp:posOffset>
            </wp:positionV>
            <wp:extent cx="5145405" cy="2743200"/>
            <wp:effectExtent l="0" t="0" r="0" b="0"/>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5145405" cy="2743200"/>
                    </a:xfrm>
                    <a:prstGeom prst="rect">
                      <a:avLst/>
                    </a:prstGeom>
                    <a:noFill/>
                    <a:ln w="9525">
                      <a:noFill/>
                    </a:ln>
                  </pic:spPr>
                </pic:pic>
              </a:graphicData>
            </a:graphic>
          </wp:anchor>
        </w:drawing>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1571" w:firstLineChars="507"/>
        <w:jc w:val="both"/>
        <w:textAlignment w:val="auto"/>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1"/>
          <w:szCs w:val="31"/>
          <w:shd w:val="clear" w:fill="FFFFFF"/>
          <w14:textFill>
            <w14:solidFill>
              <w14:schemeClr w14:val="tx1"/>
            </w14:solidFill>
          </w14:textFill>
        </w:rPr>
        <w:t>2013～2019年全国地铁运营线路长度</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5"/>
        <w:textAlignment w:val="auto"/>
        <w:rPr>
          <w:rFonts w:hint="default" w:ascii="Times New Roman" w:hAnsi="Times New Roman" w:eastAsia="楷体_GB2312" w:cs="Times New Roman"/>
          <w:i w:val="0"/>
          <w:iCs w:val="0"/>
          <w:caps w:val="0"/>
          <w:color w:val="333333"/>
          <w:spacing w:val="0"/>
          <w:sz w:val="31"/>
          <w:szCs w:val="31"/>
          <w:shd w:val="clear" w:fill="FFFFFF"/>
        </w:rPr>
      </w:pPr>
      <w:r>
        <w:rPr>
          <w:rFonts w:hint="default" w:ascii="Times New Roman" w:hAnsi="Times New Roman" w:eastAsia="微软雅黑" w:cs="Times New Roman"/>
          <w:i w:val="0"/>
          <w:iCs w:val="0"/>
          <w:caps w:val="0"/>
          <w:color w:val="333333"/>
          <w:spacing w:val="0"/>
          <w:sz w:val="31"/>
          <w:szCs w:val="31"/>
          <w:shd w:val="clear" w:fill="FFFFFF"/>
        </w:rPr>
        <w:t>2019</w:t>
      </w:r>
      <w:r>
        <w:rPr>
          <w:rFonts w:hint="default" w:ascii="Times New Roman" w:hAnsi="Times New Roman" w:eastAsia="楷体_GB2312" w:cs="Times New Roman"/>
          <w:i w:val="0"/>
          <w:iCs w:val="0"/>
          <w:caps w:val="0"/>
          <w:color w:val="333333"/>
          <w:spacing w:val="0"/>
          <w:sz w:val="31"/>
          <w:szCs w:val="31"/>
          <w:shd w:val="clear" w:fill="FFFFFF"/>
        </w:rPr>
        <w:t>年末，我国城轨交通配属地铁列车</w:t>
      </w:r>
      <w:r>
        <w:rPr>
          <w:rFonts w:hint="default" w:ascii="Times New Roman" w:hAnsi="Times New Roman" w:eastAsia="微软雅黑" w:cs="Times New Roman"/>
          <w:i w:val="0"/>
          <w:iCs w:val="0"/>
          <w:caps w:val="0"/>
          <w:color w:val="333333"/>
          <w:spacing w:val="0"/>
          <w:sz w:val="31"/>
          <w:szCs w:val="31"/>
          <w:shd w:val="clear" w:fill="FFFFFF"/>
        </w:rPr>
        <w:t>6178</w:t>
      </w:r>
      <w:r>
        <w:rPr>
          <w:rFonts w:hint="default" w:ascii="Times New Roman" w:hAnsi="Times New Roman" w:eastAsia="楷体_GB2312" w:cs="Times New Roman"/>
          <w:i w:val="0"/>
          <w:iCs w:val="0"/>
          <w:caps w:val="0"/>
          <w:color w:val="333333"/>
          <w:spacing w:val="0"/>
          <w:sz w:val="31"/>
          <w:szCs w:val="31"/>
          <w:shd w:val="clear" w:fill="FFFFFF"/>
        </w:rPr>
        <w:t>列，全年实现地铁客运量</w:t>
      </w:r>
      <w:r>
        <w:rPr>
          <w:rFonts w:hint="default" w:ascii="Times New Roman" w:hAnsi="Times New Roman" w:eastAsia="微软雅黑" w:cs="Times New Roman"/>
          <w:i w:val="0"/>
          <w:iCs w:val="0"/>
          <w:caps w:val="0"/>
          <w:color w:val="333333"/>
          <w:spacing w:val="0"/>
          <w:sz w:val="31"/>
          <w:szCs w:val="31"/>
          <w:shd w:val="clear" w:fill="FFFFFF"/>
        </w:rPr>
        <w:t>227.76</w:t>
      </w:r>
      <w:r>
        <w:rPr>
          <w:rFonts w:hint="default" w:ascii="Times New Roman" w:hAnsi="Times New Roman" w:eastAsia="楷体_GB2312" w:cs="Times New Roman"/>
          <w:i w:val="0"/>
          <w:iCs w:val="0"/>
          <w:caps w:val="0"/>
          <w:color w:val="333333"/>
          <w:spacing w:val="0"/>
          <w:sz w:val="31"/>
          <w:szCs w:val="31"/>
          <w:shd w:val="clear" w:fill="FFFFFF"/>
        </w:rPr>
        <w:t>亿人次。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i w:val="0"/>
          <w:iCs w:val="0"/>
          <w:caps w:val="0"/>
          <w:color w:val="333333"/>
          <w:spacing w:val="0"/>
          <w:sz w:val="18"/>
          <w:szCs w:val="18"/>
        </w:rPr>
      </w:pPr>
      <w:r>
        <w:rPr>
          <w:rFonts w:hint="eastAsia" w:ascii="黑体" w:hAnsi="黑体" w:eastAsia="黑体" w:cs="黑体"/>
          <w:i w:val="0"/>
          <w:iCs w:val="0"/>
          <w:caps w:val="0"/>
          <w:color w:val="333333"/>
          <w:spacing w:val="0"/>
          <w:sz w:val="31"/>
          <w:szCs w:val="31"/>
          <w:shd w:val="clear" w:fill="FFFFFF"/>
        </w:rPr>
        <w:t>2019年我国部分城市地铁运营状况</w:t>
      </w:r>
    </w:p>
    <w:tbl>
      <w:tblPr>
        <w:tblStyle w:val="7"/>
        <w:tblW w:w="803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72"/>
        <w:gridCol w:w="1543"/>
        <w:gridCol w:w="1564"/>
        <w:gridCol w:w="1628"/>
        <w:gridCol w:w="17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32" w:hRule="atLeas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仿宋_GB2312" w:cs="Times New Roman"/>
                <w:i w:val="0"/>
                <w:iCs w:val="0"/>
                <w:color w:val="333333"/>
                <w:sz w:val="18"/>
                <w:szCs w:val="18"/>
                <w:u w:val="none"/>
              </w:rPr>
            </w:pPr>
          </w:p>
        </w:tc>
        <w:tc>
          <w:tcPr>
            <w:tcW w:w="1543"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运营线路长度（公里）</w:t>
            </w:r>
          </w:p>
        </w:tc>
        <w:tc>
          <w:tcPr>
            <w:tcW w:w="1564"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运营线路条数（条）</w:t>
            </w:r>
          </w:p>
        </w:tc>
        <w:tc>
          <w:tcPr>
            <w:tcW w:w="1628"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配属地铁列车（列）</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kern w:val="0"/>
                <w:sz w:val="24"/>
                <w:szCs w:val="24"/>
                <w:u w:val="none"/>
                <w:lang w:val="en-US" w:eastAsia="zh-CN" w:bidi="ar"/>
              </w:rPr>
            </w:pPr>
            <w:r>
              <w:rPr>
                <w:rFonts w:hint="default" w:ascii="Times New Roman" w:hAnsi="Times New Roman" w:eastAsia="仿宋_GB2312" w:cs="Times New Roman"/>
                <w:i w:val="0"/>
                <w:iCs w:val="0"/>
                <w:color w:val="333333"/>
                <w:kern w:val="0"/>
                <w:sz w:val="24"/>
                <w:szCs w:val="24"/>
                <w:u w:val="none"/>
                <w:lang w:val="en-US" w:eastAsia="zh-CN" w:bidi="ar"/>
              </w:rPr>
              <w:t>客运量</w:t>
            </w:r>
          </w:p>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（亿人次）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上海</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669.5</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15</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898</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北京</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637.6</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20</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1001</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39.4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广州</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489.4</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13</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510</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32.9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武汉</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338.4</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9</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435</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深圳</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304.4</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8</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384</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成都</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302.2</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7</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410</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重庆</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230</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7</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223</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天津</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178.6</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5</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178</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南京</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176.8</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5</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203</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苏州</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165.9</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4</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173</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西安</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158</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5</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203</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郑州</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151.7</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4</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151</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杭州</w:t>
            </w:r>
          </w:p>
        </w:tc>
        <w:tc>
          <w:tcPr>
            <w:tcW w:w="15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130.9</w:t>
            </w:r>
          </w:p>
        </w:tc>
        <w:tc>
          <w:tcPr>
            <w:tcW w:w="15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4</w:t>
            </w:r>
          </w:p>
        </w:tc>
        <w:tc>
          <w:tcPr>
            <w:tcW w:w="16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174</w:t>
            </w:r>
          </w:p>
        </w:tc>
        <w:tc>
          <w:tcPr>
            <w:tcW w:w="1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6.3</w:t>
            </w: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jc w:val="center"/>
        <w:textAlignment w:val="auto"/>
        <w:rPr>
          <w:rFonts w:hint="eastAsia" w:ascii="楷体" w:hAnsi="楷体" w:eastAsia="楷体" w:cs="楷体"/>
          <w:i w:val="0"/>
          <w:iCs w:val="0"/>
          <w:caps w:val="0"/>
          <w:color w:val="333333"/>
          <w:spacing w:val="0"/>
          <w:sz w:val="28"/>
          <w:szCs w:val="28"/>
        </w:rPr>
      </w:pPr>
      <w:r>
        <w:rPr>
          <w:rFonts w:hint="eastAsia" w:ascii="楷体" w:hAnsi="楷体" w:eastAsia="楷体" w:cs="楷体"/>
          <w:i w:val="0"/>
          <w:iCs w:val="0"/>
          <w:caps w:val="0"/>
          <w:color w:val="333333"/>
          <w:spacing w:val="0"/>
          <w:sz w:val="28"/>
          <w:szCs w:val="28"/>
          <w:shd w:val="clear" w:fill="FFFFFF"/>
        </w:rPr>
        <w:t>注：除客运量为全年数值外，其余指标为年末时点值。</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pPr>
      <w:r>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t>（1）2014～2019年间，全国地铁运营线路长度同比增长20%以上的年份有几个？</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pPr>
      <w:r>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t>A．1                                         B．2</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pPr>
      <w:r>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t>C．3                                         D．4</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pPr>
      <w:r>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t>（答案：A。）</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pPr>
      <w:r>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t>（2）以下城市中，2019年末平均每条运营的地铁线路配属地铁列车数最多的是：</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pPr>
      <w:r>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t>A．广州                                   B．武汉</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pPr>
      <w:r>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t>C．成都                                   D．南京</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pPr>
      <w:r>
        <w:rPr>
          <w:rStyle w:val="6"/>
          <w:rFonts w:hint="default" w:ascii="Times New Roman" w:hAnsi="Times New Roman" w:eastAsia="楷体" w:cs="Times New Roman"/>
          <w:b w:val="0"/>
          <w:bCs/>
          <w:i w:val="0"/>
          <w:caps w:val="0"/>
          <w:color w:val="000000" w:themeColor="text1"/>
          <w:spacing w:val="0"/>
          <w:sz w:val="32"/>
          <w:szCs w:val="32"/>
          <w:shd w:val="clear" w:fill="FFFFFF"/>
          <w14:textFill>
            <w14:solidFill>
              <w14:schemeClr w14:val="tx1"/>
            </w14:solidFill>
          </w14:textFill>
        </w:rPr>
        <w:t>（答案：C。）</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textAlignment w:val="auto"/>
        <w:rPr>
          <w:rFonts w:hint="eastAsia" w:ascii="黑体" w:hAnsi="黑体" w:eastAsia="黑体" w:cs="黑体"/>
          <w:i w:val="0"/>
          <w:caps w:val="0"/>
          <w:color w:val="000000" w:themeColor="text1"/>
          <w:spacing w:val="0"/>
          <w:sz w:val="32"/>
          <w:szCs w:val="32"/>
          <w14:textFill>
            <w14:solidFill>
              <w14:schemeClr w14:val="tx1"/>
            </w14:solidFill>
          </w14:textFill>
        </w:rPr>
      </w:pPr>
      <w:r>
        <w:rPr>
          <w:rFonts w:hint="eastAsia" w:ascii="黑体" w:hAnsi="黑体" w:eastAsia="黑体" w:cs="黑体"/>
          <w:i w:val="0"/>
          <w:caps w:val="0"/>
          <w:color w:val="000000" w:themeColor="text1"/>
          <w:spacing w:val="0"/>
          <w:sz w:val="32"/>
          <w:szCs w:val="32"/>
          <w:shd w:val="clear" w:fill="FFFFFF"/>
          <w14:textFill>
            <w14:solidFill>
              <w14:schemeClr w14:val="tx1"/>
            </w14:solidFill>
          </w14:textFill>
        </w:rPr>
        <w:t>三、申论</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申论试卷由注意事项、给定资料和作答要求三部分组成。</w:t>
      </w:r>
      <w:r>
        <w:rPr>
          <w:rFonts w:hint="eastAsia" w:ascii="Times New Roman" w:hAnsi="Times New Roman" w:eastAsia="仿宋_GB2312" w:cs="Times New Roman"/>
          <w:i w:val="0"/>
          <w:caps w:val="0"/>
          <w:color w:val="000000" w:themeColor="text1"/>
          <w:spacing w:val="0"/>
          <w:sz w:val="32"/>
          <w:szCs w:val="32"/>
          <w:shd w:val="clear" w:fill="FFFFFF"/>
          <w:lang w:eastAsia="zh-CN"/>
          <w14:textFill>
            <w14:solidFill>
              <w14:schemeClr w14:val="tx1"/>
            </w14:solidFill>
          </w14:textFill>
        </w:rPr>
        <w:t>本次招考</w:t>
      </w:r>
      <w:r>
        <w:rPr>
          <w:rFonts w:hint="eastAsia" w:ascii="Times New Roman" w:hAnsi="Times New Roman" w:eastAsia="仿宋_GB2312"/>
          <w:color w:val="000000"/>
          <w:sz w:val="32"/>
          <w:szCs w:val="32"/>
          <w:shd w:val="clear" w:color="auto" w:fill="FFFFFF"/>
          <w:lang w:eastAsia="zh-CN"/>
        </w:rPr>
        <w:t>申论试卷分类分级命制，</w:t>
      </w:r>
      <w:r>
        <w:rPr>
          <w:rFonts w:hint="eastAsia" w:ascii="Times New Roman" w:hAnsi="Times New Roman" w:eastAsia="仿宋_GB2312"/>
          <w:color w:val="000000"/>
          <w:sz w:val="32"/>
          <w:szCs w:val="32"/>
          <w:shd w:val="clear" w:color="auto" w:fill="FFFFFF"/>
        </w:rPr>
        <w:t>自治区</w:t>
      </w:r>
      <w:r>
        <w:rPr>
          <w:rFonts w:hint="eastAsia" w:ascii="Times New Roman" w:hAnsi="Times New Roman" w:eastAsia="仿宋_GB2312"/>
          <w:color w:val="000000"/>
          <w:sz w:val="32"/>
          <w:szCs w:val="32"/>
          <w:shd w:val="clear" w:color="auto" w:fill="FFFFFF"/>
          <w:lang w:eastAsia="zh-CN"/>
        </w:rPr>
        <w:t>、</w:t>
      </w:r>
      <w:r>
        <w:rPr>
          <w:rFonts w:hint="eastAsia" w:ascii="Times New Roman" w:hAnsi="Times New Roman" w:eastAsia="仿宋_GB2312"/>
          <w:color w:val="000000"/>
          <w:sz w:val="32"/>
          <w:szCs w:val="32"/>
          <w:shd w:val="clear" w:color="auto" w:fill="FFFFFF"/>
          <w:lang w:val="en-US" w:eastAsia="zh-CN"/>
        </w:rPr>
        <w:t>地市</w:t>
      </w:r>
      <w:r>
        <w:rPr>
          <w:rFonts w:hint="eastAsia" w:ascii="Times New Roman" w:hAnsi="Times New Roman" w:eastAsia="仿宋_GB2312"/>
          <w:color w:val="000000"/>
          <w:sz w:val="32"/>
          <w:szCs w:val="32"/>
          <w:shd w:val="clear" w:color="auto" w:fill="FFFFFF"/>
        </w:rPr>
        <w:t>级</w:t>
      </w:r>
      <w:r>
        <w:rPr>
          <w:rFonts w:hint="eastAsia" w:ascii="Times New Roman" w:hAnsi="Times New Roman" w:eastAsia="仿宋_GB2312"/>
          <w:color w:val="000000"/>
          <w:sz w:val="32"/>
          <w:szCs w:val="32"/>
          <w:shd w:val="clear" w:color="auto" w:fill="FFFFFF"/>
          <w:lang w:eastAsia="zh-CN"/>
        </w:rPr>
        <w:t>综合管理类职位使用</w:t>
      </w:r>
      <w:r>
        <w:rPr>
          <w:rFonts w:hint="eastAsia" w:ascii="Times New Roman" w:hAnsi="Times New Roman" w:eastAsia="仿宋_GB2312"/>
          <w:color w:val="000000"/>
          <w:sz w:val="32"/>
          <w:szCs w:val="32"/>
          <w:shd w:val="clear" w:color="auto" w:fill="FFFFFF"/>
          <w:lang w:val="en-US" w:eastAsia="zh-CN"/>
        </w:rPr>
        <w:t>A卷</w:t>
      </w:r>
      <w:r>
        <w:rPr>
          <w:rFonts w:hint="eastAsia" w:ascii="Times New Roman" w:hAnsi="Times New Roman" w:eastAsia="仿宋_GB2312"/>
          <w:color w:val="000000"/>
          <w:sz w:val="32"/>
          <w:szCs w:val="32"/>
          <w:shd w:val="clear" w:color="auto" w:fill="FFFFFF"/>
          <w:lang w:eastAsia="zh-CN"/>
        </w:rPr>
        <w:t>，县（区）、</w:t>
      </w:r>
      <w:r>
        <w:rPr>
          <w:rFonts w:hint="eastAsia" w:ascii="Times New Roman" w:hAnsi="Times New Roman" w:eastAsia="仿宋_GB2312"/>
          <w:color w:val="000000"/>
          <w:sz w:val="32"/>
          <w:szCs w:val="32"/>
          <w:shd w:val="clear" w:color="auto" w:fill="FFFFFF"/>
        </w:rPr>
        <w:t>乡镇</w:t>
      </w:r>
      <w:r>
        <w:rPr>
          <w:rFonts w:hint="eastAsia" w:ascii="Times New Roman" w:hAnsi="Times New Roman" w:eastAsia="仿宋_GB2312"/>
          <w:color w:val="000000"/>
          <w:sz w:val="32"/>
          <w:szCs w:val="32"/>
          <w:shd w:val="clear" w:color="auto" w:fill="FFFFFF"/>
          <w:lang w:eastAsia="zh-CN"/>
        </w:rPr>
        <w:t>（街道）</w:t>
      </w:r>
      <w:r>
        <w:rPr>
          <w:rFonts w:hint="eastAsia" w:ascii="Times New Roman" w:hAnsi="Times New Roman" w:eastAsia="仿宋_GB2312"/>
          <w:color w:val="000000"/>
          <w:sz w:val="32"/>
          <w:szCs w:val="32"/>
          <w:shd w:val="clear" w:color="auto" w:fill="FFFFFF"/>
        </w:rPr>
        <w:t>级</w:t>
      </w:r>
      <w:r>
        <w:rPr>
          <w:rFonts w:hint="eastAsia" w:ascii="Times New Roman" w:hAnsi="Times New Roman" w:eastAsia="仿宋_GB2312"/>
          <w:color w:val="000000"/>
          <w:sz w:val="32"/>
          <w:szCs w:val="32"/>
          <w:shd w:val="clear" w:color="auto" w:fill="FFFFFF"/>
          <w:lang w:eastAsia="zh-CN"/>
        </w:rPr>
        <w:t>综合管理类</w:t>
      </w:r>
      <w:r>
        <w:rPr>
          <w:rFonts w:hint="eastAsia" w:ascii="Times New Roman" w:hAnsi="Times New Roman" w:eastAsia="仿宋_GB2312"/>
          <w:color w:val="000000"/>
          <w:sz w:val="32"/>
          <w:szCs w:val="32"/>
          <w:shd w:val="clear" w:color="auto" w:fill="FFFFFF"/>
        </w:rPr>
        <w:t>职位</w:t>
      </w:r>
      <w:r>
        <w:rPr>
          <w:rFonts w:hint="eastAsia" w:ascii="Times New Roman" w:hAnsi="Times New Roman" w:eastAsia="仿宋_GB2312"/>
          <w:color w:val="000000"/>
          <w:sz w:val="32"/>
          <w:szCs w:val="32"/>
          <w:shd w:val="clear" w:color="auto" w:fill="FFFFFF"/>
          <w:lang w:eastAsia="zh-CN"/>
        </w:rPr>
        <w:t>使用</w:t>
      </w:r>
      <w:r>
        <w:rPr>
          <w:rFonts w:hint="eastAsia" w:ascii="Times New Roman" w:hAnsi="Times New Roman" w:eastAsia="仿宋_GB2312"/>
          <w:color w:val="000000"/>
          <w:sz w:val="32"/>
          <w:szCs w:val="32"/>
          <w:shd w:val="clear" w:color="auto" w:fill="FFFFFF"/>
          <w:lang w:val="en-US" w:eastAsia="zh-CN"/>
        </w:rPr>
        <w:t>B卷，</w:t>
      </w:r>
      <w:r>
        <w:rPr>
          <w:rFonts w:hint="eastAsia" w:ascii="Times New Roman" w:hAnsi="Times New Roman" w:eastAsia="仿宋_GB2312" w:cs="Times New Roman"/>
          <w:i w:val="0"/>
          <w:caps w:val="0"/>
          <w:color w:val="000000" w:themeColor="text1"/>
          <w:spacing w:val="0"/>
          <w:sz w:val="32"/>
          <w:szCs w:val="32"/>
          <w:shd w:val="clear" w:fill="FFFFFF"/>
          <w:lang w:eastAsia="zh-CN"/>
          <w14:textFill>
            <w14:solidFill>
              <w14:schemeClr w14:val="tx1"/>
            </w14:solidFill>
          </w14:textFill>
        </w:rPr>
        <w:t>全区公安机关执法勤务类职位、地级市以下市场监督管理部门行政执法类职位</w:t>
      </w:r>
      <w:r>
        <w:rPr>
          <w:rFonts w:hint="eastAsia" w:ascii="Times New Roman" w:hAnsi="Times New Roman" w:eastAsia="仿宋_GB2312"/>
          <w:color w:val="000000"/>
          <w:sz w:val="32"/>
          <w:szCs w:val="32"/>
          <w:shd w:val="clear" w:color="auto" w:fill="FFFFFF"/>
          <w:lang w:eastAsia="zh-CN"/>
        </w:rPr>
        <w:t>使用</w:t>
      </w:r>
      <w:r>
        <w:rPr>
          <w:rFonts w:hint="eastAsia" w:ascii="Times New Roman" w:hAnsi="Times New Roman" w:eastAsia="仿宋_GB2312"/>
          <w:color w:val="000000"/>
          <w:sz w:val="32"/>
          <w:szCs w:val="32"/>
          <w:shd w:val="clear" w:color="auto" w:fill="FFFFFF"/>
          <w:lang w:val="en-US" w:eastAsia="zh-CN"/>
        </w:rPr>
        <w:t>C卷。</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i w:val="0"/>
          <w:caps w:val="0"/>
          <w:color w:val="000000" w:themeColor="text1"/>
          <w:spacing w:val="0"/>
          <w:sz w:val="32"/>
          <w:szCs w:val="32"/>
          <w:shd w:val="clear" w:fill="FFFFFF"/>
          <w:lang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shd w:val="clear" w:fill="FFFFFF"/>
          <w:lang w:eastAsia="zh-CN"/>
          <w14:textFill>
            <w14:solidFill>
              <w14:schemeClr w14:val="tx1"/>
            </w14:solidFill>
          </w14:textFill>
        </w:rPr>
        <w:t>（一）自治区、</w:t>
      </w:r>
      <w:r>
        <w:rPr>
          <w:rFonts w:hint="eastAsia" w:ascii="Times New Roman" w:hAnsi="Times New Roman" w:eastAsia="仿宋_GB2312" w:cs="Times New Roman"/>
          <w:i w:val="0"/>
          <w:caps w:val="0"/>
          <w:color w:val="000000" w:themeColor="text1"/>
          <w:spacing w:val="0"/>
          <w:sz w:val="32"/>
          <w:szCs w:val="32"/>
          <w:shd w:val="clear" w:fill="FFFFFF"/>
          <w:lang w:val="en-US" w:eastAsia="zh-CN"/>
          <w14:textFill>
            <w14:solidFill>
              <w14:schemeClr w14:val="tx1"/>
            </w14:solidFill>
          </w14:textFill>
        </w:rPr>
        <w:t>地市</w:t>
      </w:r>
      <w:r>
        <w:rPr>
          <w:rFonts w:hint="eastAsia" w:ascii="Times New Roman" w:hAnsi="Times New Roman" w:eastAsia="仿宋_GB2312" w:cs="Times New Roman"/>
          <w:i w:val="0"/>
          <w:caps w:val="0"/>
          <w:color w:val="000000" w:themeColor="text1"/>
          <w:spacing w:val="0"/>
          <w:sz w:val="32"/>
          <w:szCs w:val="32"/>
          <w:shd w:val="clear" w:fill="FFFFFF"/>
          <w:lang w:eastAsia="zh-CN"/>
          <w14:textFill>
            <w14:solidFill>
              <w14:schemeClr w14:val="tx1"/>
            </w14:solidFill>
          </w14:textFill>
        </w:rPr>
        <w:t>级综合管理类职位申论考试主要测查报考者的阅读理解能力、综合分析能力、提出和解决问题能力、文字表达能力。</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ascii="微软雅黑" w:hAnsi="微软雅黑" w:eastAsia="微软雅黑" w:cs="微软雅黑"/>
          <w:i w:val="0"/>
          <w:iCs w:val="0"/>
          <w:caps w:val="0"/>
          <w:color w:val="333333"/>
          <w:spacing w:val="0"/>
          <w:sz w:val="18"/>
          <w:szCs w:val="18"/>
        </w:rPr>
      </w:pPr>
      <w:r>
        <w:rPr>
          <w:rStyle w:val="6"/>
          <w:rFonts w:ascii="仿宋_GB2312" w:hAnsi="微软雅黑" w:eastAsia="仿宋_GB2312" w:cs="仿宋_GB2312"/>
          <w:i w:val="0"/>
          <w:iCs w:val="0"/>
          <w:caps w:val="0"/>
          <w:color w:val="333333"/>
          <w:spacing w:val="0"/>
          <w:sz w:val="31"/>
          <w:szCs w:val="31"/>
          <w:shd w:val="clear" w:fill="FFFFFF"/>
        </w:rPr>
        <w:t>阅读理解能力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全面把握给定资料的相关内容，准确理解给定资料的含义，准确提炼事实所包含的观点，并揭示所反映的本质问题。</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综合分析能力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对给定资料的全部或部分的内容、观点或问题进行分析和归纳，多角度地思考资料内容，作出合理的推断或评价。</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提出和解决问题能力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准确理解把握给定资料所反映的问题，提出解决问题的措施或办法。</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30"/>
        <w:jc w:val="both"/>
        <w:textAlignment w:val="auto"/>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文字表达能力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熟练使用指定的语种，运用说明、陈述、议论等方式，准确规范、简明畅达地表述思想观点。</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ascii="仿宋_GB2312" w:hAnsi="宋体" w:eastAsia="仿宋_GB2312" w:cs="仿宋_GB2312"/>
          <w:i w:val="0"/>
          <w:iCs w:val="0"/>
          <w:caps w:val="0"/>
          <w:color w:val="333333"/>
          <w:spacing w:val="0"/>
          <w:sz w:val="31"/>
          <w:szCs w:val="31"/>
          <w:shd w:val="clear" w:fill="FFFFFF"/>
        </w:rPr>
      </w:pPr>
      <w:r>
        <w:rPr>
          <w:rFonts w:hint="eastAsia" w:ascii="Times New Roman" w:hAnsi="Times New Roman" w:eastAsia="仿宋_GB2312" w:cs="Times New Roman"/>
          <w:i w:val="0"/>
          <w:caps w:val="0"/>
          <w:color w:val="000000" w:themeColor="text1"/>
          <w:spacing w:val="0"/>
          <w:sz w:val="32"/>
          <w:szCs w:val="32"/>
          <w:shd w:val="clear" w:fill="FFFFFF"/>
          <w:lang w:val="en-US" w:eastAsia="zh-CN"/>
          <w14:textFill>
            <w14:solidFill>
              <w14:schemeClr w14:val="tx1"/>
            </w14:solidFill>
          </w14:textFill>
        </w:rPr>
        <w:t xml:space="preserve">    （二）</w:t>
      </w:r>
      <w:r>
        <w:rPr>
          <w:rFonts w:hint="eastAsia" w:ascii="Times New Roman" w:hAnsi="Times New Roman" w:eastAsia="仿宋_GB2312"/>
          <w:color w:val="000000"/>
          <w:sz w:val="32"/>
          <w:szCs w:val="32"/>
          <w:shd w:val="clear" w:color="auto" w:fill="FFFFFF"/>
          <w:lang w:eastAsia="zh-CN"/>
        </w:rPr>
        <w:t>县（区）、</w:t>
      </w:r>
      <w:r>
        <w:rPr>
          <w:rFonts w:hint="eastAsia" w:ascii="Times New Roman" w:hAnsi="Times New Roman" w:eastAsia="仿宋_GB2312"/>
          <w:color w:val="000000"/>
          <w:sz w:val="32"/>
          <w:szCs w:val="32"/>
          <w:shd w:val="clear" w:color="auto" w:fill="FFFFFF"/>
        </w:rPr>
        <w:t>乡镇</w:t>
      </w:r>
      <w:r>
        <w:rPr>
          <w:rFonts w:hint="eastAsia" w:ascii="Times New Roman" w:hAnsi="Times New Roman" w:eastAsia="仿宋_GB2312"/>
          <w:color w:val="000000"/>
          <w:sz w:val="32"/>
          <w:szCs w:val="32"/>
          <w:shd w:val="clear" w:color="auto" w:fill="FFFFFF"/>
          <w:lang w:eastAsia="zh-CN"/>
        </w:rPr>
        <w:t>（街道）</w:t>
      </w:r>
      <w:r>
        <w:rPr>
          <w:rFonts w:hint="eastAsia" w:ascii="Times New Roman" w:hAnsi="Times New Roman" w:eastAsia="仿宋_GB2312"/>
          <w:color w:val="000000"/>
          <w:sz w:val="32"/>
          <w:szCs w:val="32"/>
          <w:shd w:val="clear" w:color="auto" w:fill="FFFFFF"/>
        </w:rPr>
        <w:t>级</w:t>
      </w:r>
      <w:r>
        <w:rPr>
          <w:rFonts w:hint="eastAsia" w:ascii="Times New Roman" w:hAnsi="Times New Roman" w:eastAsia="仿宋_GB2312"/>
          <w:color w:val="000000"/>
          <w:sz w:val="32"/>
          <w:szCs w:val="32"/>
          <w:shd w:val="clear" w:color="auto" w:fill="FFFFFF"/>
          <w:lang w:eastAsia="zh-CN"/>
        </w:rPr>
        <w:t>综合管理类</w:t>
      </w:r>
      <w:r>
        <w:rPr>
          <w:rFonts w:hint="eastAsia" w:ascii="Times New Roman" w:hAnsi="Times New Roman" w:eastAsia="仿宋_GB2312"/>
          <w:color w:val="000000"/>
          <w:sz w:val="32"/>
          <w:szCs w:val="32"/>
          <w:shd w:val="clear" w:color="auto" w:fill="FFFFFF"/>
        </w:rPr>
        <w:t>职位</w:t>
      </w:r>
      <w:r>
        <w:rPr>
          <w:rFonts w:hint="eastAsia" w:ascii="Times New Roman" w:hAnsi="Times New Roman" w:eastAsia="仿宋_GB2312"/>
          <w:color w:val="000000"/>
          <w:sz w:val="32"/>
          <w:szCs w:val="32"/>
          <w:shd w:val="clear" w:color="auto" w:fill="FFFFFF"/>
          <w:lang w:eastAsia="zh-CN"/>
        </w:rPr>
        <w:t>申论考试主要测</w:t>
      </w:r>
      <w:r>
        <w:rPr>
          <w:rFonts w:ascii="仿宋_GB2312" w:hAnsi="宋体" w:eastAsia="仿宋_GB2312" w:cs="仿宋_GB2312"/>
          <w:i w:val="0"/>
          <w:iCs w:val="0"/>
          <w:caps w:val="0"/>
          <w:color w:val="333333"/>
          <w:spacing w:val="0"/>
          <w:sz w:val="31"/>
          <w:szCs w:val="31"/>
          <w:shd w:val="clear" w:fill="FFFFFF"/>
        </w:rPr>
        <w:t>查报考者的阅读理解能力、贯彻执行能力、解决问题能力和文字表达能力。</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firstLine="632" w:firstLineChars="200"/>
        <w:jc w:val="both"/>
        <w:textAlignment w:val="auto"/>
        <w:rPr>
          <w:rFonts w:ascii="微软雅黑" w:hAnsi="微软雅黑" w:eastAsia="微软雅黑" w:cs="微软雅黑"/>
          <w:i w:val="0"/>
          <w:iCs w:val="0"/>
          <w:caps w:val="0"/>
          <w:color w:val="333333"/>
          <w:spacing w:val="0"/>
          <w:sz w:val="18"/>
          <w:szCs w:val="18"/>
        </w:rPr>
      </w:pPr>
      <w:r>
        <w:rPr>
          <w:rStyle w:val="6"/>
          <w:rFonts w:ascii="仿宋_GB2312" w:hAnsi="微软雅黑" w:eastAsia="仿宋_GB2312" w:cs="仿宋_GB2312"/>
          <w:i w:val="0"/>
          <w:iCs w:val="0"/>
          <w:caps w:val="0"/>
          <w:color w:val="333333"/>
          <w:spacing w:val="0"/>
          <w:sz w:val="31"/>
          <w:szCs w:val="31"/>
          <w:shd w:val="clear" w:fill="FFFFFF"/>
        </w:rPr>
        <w:t>阅读理解能力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能够理解给定资料的主要内容，把握给定资料各部分之间的关系，对给定资料所涉及的观点、事实作出恰当的解释。</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贯彻执行能力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能够准确理解工作目标和组织意图，遵循依法行政的原则，根据客观实际情况，及时有效地完成任务。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30"/>
        <w:jc w:val="both"/>
        <w:textAlignment w:val="auto"/>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解决问题能力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对给定资料所反映的问题进行分析，并提出解决的措施或办法。</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30"/>
        <w:jc w:val="both"/>
        <w:textAlignment w:val="auto"/>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文字表达能力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熟练使用指定的语种，对事件、观点进行准确合理的说明、陈述或阐释。</w:t>
      </w:r>
    </w:p>
    <w:p>
      <w:pPr>
        <w:pStyle w:val="4"/>
        <w:keepNext w:val="0"/>
        <w:keepLines w:val="0"/>
        <w:pageBreakBefore w:val="0"/>
        <w:widowControl w:val="0"/>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三</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）公安机关执法勤务类职位、地级市以下市场监督管理部门行政执法类职位申论考试主要测查报考者的阅读理解能力、依法办事能力、公共服务能力和文字表达能力。</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720"/>
        <w:jc w:val="both"/>
        <w:textAlignment w:val="auto"/>
        <w:rPr>
          <w:rFonts w:ascii="微软雅黑" w:hAnsi="微软雅黑" w:eastAsia="微软雅黑" w:cs="微软雅黑"/>
          <w:i w:val="0"/>
          <w:iCs w:val="0"/>
          <w:caps w:val="0"/>
          <w:color w:val="333333"/>
          <w:spacing w:val="0"/>
          <w:sz w:val="18"/>
          <w:szCs w:val="18"/>
        </w:rPr>
      </w:pPr>
      <w:r>
        <w:rPr>
          <w:rStyle w:val="6"/>
          <w:rFonts w:ascii="仿宋_GB2312" w:hAnsi="微软雅黑" w:eastAsia="仿宋_GB2312" w:cs="仿宋_GB2312"/>
          <w:i w:val="0"/>
          <w:iCs w:val="0"/>
          <w:caps w:val="0"/>
          <w:color w:val="333333"/>
          <w:spacing w:val="0"/>
          <w:sz w:val="31"/>
          <w:szCs w:val="31"/>
          <w:shd w:val="clear" w:fill="FFFFFF"/>
        </w:rPr>
        <w:t>阅读理解能力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准确理解归纳给定资料的主要内容，对所涉及的观点和事实进行恰当的解释，并作出合理的推断。</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720"/>
        <w:jc w:val="both"/>
        <w:textAlignment w:val="auto"/>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依法办事能力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遵循依法行政的原则，综合运用恰当有效的方法完成任务、解决问题、实现目标。</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720"/>
        <w:jc w:val="both"/>
        <w:textAlignment w:val="auto"/>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公共服务能力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能够全面准确了解公众需求和愿望，灵活运用各种措施和办法为公众提供优质、高效、便捷的服务。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文字表达能力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熟练使用指定的语种，对事件、观点进行准确合理的说明、陈述或阐释。</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textAlignment w:val="auto"/>
        <w:rPr>
          <w:rFonts w:hint="default" w:ascii="Times New Roman" w:hAnsi="Times New Roman" w:eastAsia="微软雅黑"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fill="FFFFFF"/>
          <w14:textFill>
            <w14:solidFill>
              <w14:schemeClr w14:val="tx1"/>
            </w14:solidFill>
          </w14:textFill>
        </w:rPr>
        <w:t>四、作答要求</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textAlignment w:val="auto"/>
        <w:rPr>
          <w:rFonts w:hint="default" w:ascii="Times New Roman" w:hAnsi="Times New Roman" w:eastAsia="微软雅黑"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（一）行政职业能力测验</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报考者务必携带的考试文具包括</w:t>
      </w:r>
      <w:r>
        <w:rPr>
          <w:rStyle w:val="6"/>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黑色字迹的钢笔或签字笔、</w:t>
      </w:r>
      <w:r>
        <w:rPr>
          <w:rStyle w:val="6"/>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2B</w:t>
      </w:r>
      <w:r>
        <w:rPr>
          <w:rStyle w:val="6"/>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铅笔和橡皮</w:t>
      </w:r>
      <w:r>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。报考者必须用</w:t>
      </w:r>
      <w:r>
        <w:rPr>
          <w:rStyle w:val="6"/>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2B</w:t>
      </w:r>
      <w:r>
        <w:rPr>
          <w:rStyle w:val="6"/>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铅笔</w:t>
      </w:r>
      <w:r>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在指定位置上填涂准考证号，并在</w:t>
      </w:r>
      <w:r>
        <w:rPr>
          <w:rStyle w:val="6"/>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答题卡</w:t>
      </w:r>
      <w:r>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上作答。在试题本或其他位置作答一律无效。</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645"/>
        <w:jc w:val="both"/>
        <w:textAlignment w:val="auto"/>
        <w:rPr>
          <w:rFonts w:hint="default" w:ascii="Times New Roman" w:hAnsi="Times New Roman" w:eastAsia="微软雅黑"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（二）申论</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firstLine="0"/>
        <w:jc w:val="both"/>
        <w:textAlignment w:val="auto"/>
        <w:rPr>
          <w:rFonts w:hint="default" w:ascii="Times New Roman" w:hAnsi="Times New Roman" w:eastAsia="微软雅黑" w:cs="Times New Roman"/>
          <w:i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报考者务必携带的考试文具包括</w:t>
      </w:r>
      <w:r>
        <w:rPr>
          <w:rStyle w:val="6"/>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黑色字迹的钢笔或签字笔、</w:t>
      </w:r>
      <w:r>
        <w:rPr>
          <w:rStyle w:val="6"/>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2B</w:t>
      </w:r>
      <w:r>
        <w:rPr>
          <w:rStyle w:val="6"/>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铅笔和橡皮</w:t>
      </w:r>
      <w:r>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。报考者必须用</w:t>
      </w:r>
      <w:r>
        <w:rPr>
          <w:rStyle w:val="6"/>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2B</w:t>
      </w:r>
      <w:r>
        <w:rPr>
          <w:rStyle w:val="6"/>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铅笔</w:t>
      </w:r>
      <w:r>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在指定位置上填涂准考证号，用</w:t>
      </w:r>
      <w:r>
        <w:rPr>
          <w:rStyle w:val="6"/>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钢笔或签字笔</w:t>
      </w:r>
      <w:r>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在</w:t>
      </w:r>
      <w:r>
        <w:rPr>
          <w:rStyle w:val="6"/>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答题卡</w:t>
      </w:r>
      <w:r>
        <w:rPr>
          <w:rFonts w:hint="default" w:ascii="Times New Roman" w:hAnsi="Times New Roman" w:eastAsia="仿宋_GB2312" w:cs="Times New Roman"/>
          <w:i w:val="0"/>
          <w:caps w:val="0"/>
          <w:color w:val="000000" w:themeColor="text1"/>
          <w:spacing w:val="0"/>
          <w:sz w:val="32"/>
          <w:szCs w:val="32"/>
          <w:shd w:val="clear" w:fill="FFFFFF"/>
          <w14:textFill>
            <w14:solidFill>
              <w14:schemeClr w14:val="tx1"/>
            </w14:solidFill>
          </w14:textFill>
        </w:rPr>
        <w:t>指定位置上作答。在非指定位置作答或用铅笔作答一律无效。</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pPr>
    </w:p>
    <w:sectPr>
      <w:footerReference r:id="rId3" w:type="default"/>
      <w:pgSz w:w="11906" w:h="16838"/>
      <w:pgMar w:top="1984" w:right="1587" w:bottom="1701" w:left="1587" w:header="851" w:footer="992" w:gutter="0"/>
      <w:pgBorders>
        <w:top w:val="none" w:color="auto" w:sz="0" w:space="0"/>
        <w:left w:val="none" w:color="auto" w:sz="0" w:space="0"/>
        <w:bottom w:val="none" w:color="auto" w:sz="0" w:space="0"/>
        <w:right w:val="none" w:color="auto"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Lucida Sans">
    <w:panose1 w:val="020B0602030504020204"/>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幼圆">
    <w:altName w:val="宋体"/>
    <w:panose1 w:val="02010509060101010101"/>
    <w:charset w:val="86"/>
    <w:family w:val="auto"/>
    <w:pitch w:val="default"/>
    <w:sig w:usb0="00000000" w:usb1="00000000" w:usb2="00000000" w:usb3="00000000" w:csb0="00040000" w:csb1="00000000"/>
  </w:font>
  <w:font w:name="方正魏碑_GBK">
    <w:altName w:val="Courier New"/>
    <w:panose1 w:val="00000000000000000000"/>
    <w:charset w:val="00"/>
    <w:family w:val="auto"/>
    <w:pitch w:val="default"/>
    <w:sig w:usb0="00000000" w:usb1="00000000" w:usb2="00000000" w:usb3="00000000" w:csb0="00000000" w:csb1="00000000"/>
  </w:font>
  <w:font w:name="Segoe Print">
    <w:altName w:val="Verdana"/>
    <w:panose1 w:val="02000600000000000000"/>
    <w:charset w:val="00"/>
    <w:family w:val="auto"/>
    <w:pitch w:val="default"/>
    <w:sig w:usb0="00000000" w:usb1="00000000" w:usb2="00000000" w:usb3="00000000" w:csb0="2000009F" w:csb1="47010000"/>
  </w:font>
  <w:font w:name="等线">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auto"/>
    <w:pitch w:val="default"/>
    <w:sig w:usb0="00007A87" w:usb1="80000000" w:usb2="00000008" w:usb3="00000000" w:csb0="400001FF" w:csb1="FFFF0000"/>
  </w:font>
  <w:font w:name="Verdana">
    <w:panose1 w:val="020B0604030504040204"/>
    <w:charset w:val="00"/>
    <w:family w:val="auto"/>
    <w:pitch w:val="default"/>
    <w:sig w:usb0="00000287" w:usb1="00000000" w:usb2="00000000" w:usb3="00000000" w:csb0="2000019F" w:csb1="00000000"/>
  </w:font>
  <w:font w:name="微软雅黑">
    <w:altName w:val="黑体"/>
    <w:panose1 w:val="00000000000000000000"/>
    <w:charset w:val="00"/>
    <w:family w:val="auto"/>
    <w:pitch w:val="default"/>
    <w:sig w:usb0="00000000" w:usb1="00000000" w:usb2="00000000" w:usb3="00000000" w:csb0="00000000" w:csb1="00000000"/>
  </w:font>
  <w:font w:name="楷体">
    <w:altName w:val="楷体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95BC8"/>
    <w:rsid w:val="01B52B68"/>
    <w:rsid w:val="024E2AFA"/>
    <w:rsid w:val="025A5E5F"/>
    <w:rsid w:val="03716348"/>
    <w:rsid w:val="04FD6751"/>
    <w:rsid w:val="09FC686E"/>
    <w:rsid w:val="0EB11026"/>
    <w:rsid w:val="0F3C39A6"/>
    <w:rsid w:val="0F476AAE"/>
    <w:rsid w:val="0FC1328C"/>
    <w:rsid w:val="0FF17534"/>
    <w:rsid w:val="1020686B"/>
    <w:rsid w:val="10B82BEE"/>
    <w:rsid w:val="1311690B"/>
    <w:rsid w:val="146D4D05"/>
    <w:rsid w:val="154F327E"/>
    <w:rsid w:val="159C5DCE"/>
    <w:rsid w:val="16675B6E"/>
    <w:rsid w:val="18912965"/>
    <w:rsid w:val="18CF3ABC"/>
    <w:rsid w:val="19157C2D"/>
    <w:rsid w:val="1C03606E"/>
    <w:rsid w:val="1C417292"/>
    <w:rsid w:val="1CC801E8"/>
    <w:rsid w:val="1DE03C8B"/>
    <w:rsid w:val="1E7A587F"/>
    <w:rsid w:val="1EBA5221"/>
    <w:rsid w:val="1F512DE9"/>
    <w:rsid w:val="1F65495C"/>
    <w:rsid w:val="20B0120C"/>
    <w:rsid w:val="22A1400D"/>
    <w:rsid w:val="242E5520"/>
    <w:rsid w:val="24376676"/>
    <w:rsid w:val="248D6AEB"/>
    <w:rsid w:val="24E23B37"/>
    <w:rsid w:val="24F17786"/>
    <w:rsid w:val="25702CF0"/>
    <w:rsid w:val="264A11A3"/>
    <w:rsid w:val="28425A0F"/>
    <w:rsid w:val="29923F1C"/>
    <w:rsid w:val="29DB2579"/>
    <w:rsid w:val="2C021CB6"/>
    <w:rsid w:val="2E07133C"/>
    <w:rsid w:val="2E0A61F2"/>
    <w:rsid w:val="2E281DF2"/>
    <w:rsid w:val="30CF49B9"/>
    <w:rsid w:val="3186419E"/>
    <w:rsid w:val="32C225DF"/>
    <w:rsid w:val="340258C4"/>
    <w:rsid w:val="350D4E8B"/>
    <w:rsid w:val="36BF54FE"/>
    <w:rsid w:val="38A967DD"/>
    <w:rsid w:val="392046DA"/>
    <w:rsid w:val="3AE719E1"/>
    <w:rsid w:val="3AED5666"/>
    <w:rsid w:val="3E9A4837"/>
    <w:rsid w:val="42D74058"/>
    <w:rsid w:val="43954584"/>
    <w:rsid w:val="44154851"/>
    <w:rsid w:val="45560C7E"/>
    <w:rsid w:val="47ED3003"/>
    <w:rsid w:val="486E2017"/>
    <w:rsid w:val="49C457CA"/>
    <w:rsid w:val="4A430751"/>
    <w:rsid w:val="4A9C0A27"/>
    <w:rsid w:val="4BA350B5"/>
    <w:rsid w:val="4C41576C"/>
    <w:rsid w:val="4C4E656C"/>
    <w:rsid w:val="4CA443E4"/>
    <w:rsid w:val="4E591463"/>
    <w:rsid w:val="50737D6A"/>
    <w:rsid w:val="51926CFC"/>
    <w:rsid w:val="52DC2E1A"/>
    <w:rsid w:val="56E6651D"/>
    <w:rsid w:val="586025EF"/>
    <w:rsid w:val="5A424E7F"/>
    <w:rsid w:val="5A7B164E"/>
    <w:rsid w:val="5AC37F19"/>
    <w:rsid w:val="5B2F1B85"/>
    <w:rsid w:val="5B850373"/>
    <w:rsid w:val="5BAC0CF2"/>
    <w:rsid w:val="5BB71B29"/>
    <w:rsid w:val="5C3D555E"/>
    <w:rsid w:val="5DF516EA"/>
    <w:rsid w:val="5F1414AC"/>
    <w:rsid w:val="5F217AD7"/>
    <w:rsid w:val="5FFB56C3"/>
    <w:rsid w:val="60A11CF1"/>
    <w:rsid w:val="60EB4657"/>
    <w:rsid w:val="62524AE8"/>
    <w:rsid w:val="63BC5F06"/>
    <w:rsid w:val="63D5517B"/>
    <w:rsid w:val="64030466"/>
    <w:rsid w:val="65A3018B"/>
    <w:rsid w:val="66096F8C"/>
    <w:rsid w:val="66565DD4"/>
    <w:rsid w:val="69317DC7"/>
    <w:rsid w:val="69852E2E"/>
    <w:rsid w:val="6B181FAD"/>
    <w:rsid w:val="6B2A6DA3"/>
    <w:rsid w:val="6B7821DD"/>
    <w:rsid w:val="6BE27A8E"/>
    <w:rsid w:val="6C42076D"/>
    <w:rsid w:val="6FAD1B03"/>
    <w:rsid w:val="709178DA"/>
    <w:rsid w:val="70C2529D"/>
    <w:rsid w:val="73AB591E"/>
    <w:rsid w:val="743B4691"/>
    <w:rsid w:val="74CD3CE2"/>
    <w:rsid w:val="79A37A99"/>
    <w:rsid w:val="7A5233DB"/>
    <w:rsid w:val="7AF7241D"/>
    <w:rsid w:val="7DB66F4E"/>
    <w:rsid w:val="7EB30AB3"/>
    <w:rsid w:val="7F2F3289"/>
    <w:rsid w:val="7FAB0869"/>
    <w:rsid w:val="7FC7131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2020-03-03T14:29:00Z</dcterms:created>
  <dc:creator>Administrator</dc:creator>
  <cp:lastModifiedBy>Administrator</cp:lastModifiedBy>
  <dcterms:modified xsi:type="dcterms:W3CDTF">2022-02-16T03:24:28Z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7F29572D2799402BBE0E4F350A2CCA6E</vt:lpwstr>
  </property>
</Properties>
</file>